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17D8" w14:textId="6C6B7F6D" w:rsidR="0015756A" w:rsidRDefault="0015756A" w:rsidP="00064ABD">
      <w:pPr>
        <w:jc w:val="center"/>
        <w:rPr>
          <w:rStyle w:val="Gl"/>
          <w:rFonts w:ascii="Open Sans" w:hAnsi="Open Sans" w:cs="Open Sans"/>
          <w:color w:val="414141"/>
          <w:sz w:val="20"/>
          <w:szCs w:val="20"/>
          <w:shd w:val="clear" w:color="auto" w:fill="FFFFFF"/>
        </w:rPr>
      </w:pP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1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2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vertAlign w:val="superscript"/>
          <w:lang w:val="en-US"/>
        </w:rPr>
        <w:t>th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 International EMI Entrepreneurship &amp; Social Sciences Congress,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June 10-12, 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2025, </w:t>
      </w:r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Almaty</w:t>
      </w:r>
      <w:r w:rsidRPr="00991DB2"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/ </w:t>
      </w:r>
      <w:proofErr w:type="spellStart"/>
      <w:r>
        <w:rPr>
          <w:rStyle w:val="Gl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Kazakhitan</w:t>
      </w:r>
      <w:proofErr w:type="spellEnd"/>
    </w:p>
    <w:p w14:paraId="0E91F9D0" w14:textId="77777777" w:rsidR="0015756A" w:rsidRPr="00064ABD" w:rsidRDefault="0015756A" w:rsidP="001575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Effect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of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Innovative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Approaches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in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Tourism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Enterprises on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Tourist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Satisfaction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: A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Domestic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Foreign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Tourist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64ABD">
        <w:rPr>
          <w:rFonts w:ascii="Times New Roman" w:hAnsi="Times New Roman" w:cs="Times New Roman"/>
          <w:b/>
          <w:bCs/>
          <w:sz w:val="28"/>
          <w:szCs w:val="28"/>
        </w:rPr>
        <w:t>Comparison</w:t>
      </w:r>
      <w:proofErr w:type="spellEnd"/>
      <w:r w:rsidRPr="00064ABD">
        <w:rPr>
          <w:rFonts w:ascii="Times New Roman" w:hAnsi="Times New Roman" w:cs="Times New Roman"/>
          <w:b/>
          <w:bCs/>
          <w:sz w:val="28"/>
          <w:szCs w:val="28"/>
        </w:rPr>
        <w:t xml:space="preserve"> in TRNC</w:t>
      </w:r>
    </w:p>
    <w:p w14:paraId="4B27B4EC" w14:textId="4D54AA1C" w:rsidR="00396078" w:rsidRDefault="00396078" w:rsidP="0039607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0ECEFC" w14:textId="3592CEB5" w:rsidR="00396078" w:rsidRPr="00064ABD" w:rsidRDefault="00064ABD" w:rsidP="00064AB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Asst.Prof.</w:t>
      </w:r>
      <w:proofErr w:type="gramStart"/>
      <w:r w:rsidR="00C10558"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Dr.Elif</w:t>
      </w:r>
      <w:proofErr w:type="spellEnd"/>
      <w:proofErr w:type="gramEnd"/>
      <w:r w:rsidR="00C10558"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C10558"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Senyücel</w:t>
      </w:r>
      <w:proofErr w:type="spellEnd"/>
    </w:p>
    <w:p w14:paraId="00C93514" w14:textId="79DFD904" w:rsidR="00C10558" w:rsidRPr="00064ABD" w:rsidRDefault="0015756A" w:rsidP="00064AB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Altınbaş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Cyprus</w:t>
      </w:r>
      <w:proofErr w:type="spellEnd"/>
      <w:r w:rsidR="00C10558"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0558"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University</w:t>
      </w:r>
      <w:proofErr w:type="spellEnd"/>
      <w:r w:rsidR="00C10558"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10558"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64ABD"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TRNC</w:t>
      </w:r>
    </w:p>
    <w:p w14:paraId="34067147" w14:textId="03A92E6B" w:rsidR="00C10558" w:rsidRPr="00064ABD" w:rsidRDefault="0015756A" w:rsidP="00064AB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064ABD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elif.senyucel@wpu.edu.tr</w:t>
        </w:r>
      </w:hyperlink>
    </w:p>
    <w:p w14:paraId="6D72D448" w14:textId="31931727" w:rsidR="00C10558" w:rsidRDefault="00C10558" w:rsidP="00064AB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Orcid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: 0000-0001-7227-4658</w:t>
      </w:r>
    </w:p>
    <w:p w14:paraId="2EB0174F" w14:textId="77777777" w:rsidR="00064ABD" w:rsidRDefault="00064ABD" w:rsidP="00064AB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B8BAB9" w14:textId="77777777" w:rsidR="00064ABD" w:rsidRPr="00070D49" w:rsidRDefault="00064ABD" w:rsidP="00064ABD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70D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Prof.Dr</w:t>
      </w:r>
      <w:proofErr w:type="spellEnd"/>
      <w:r w:rsidRPr="00070D4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Himmet KARADAL</w:t>
      </w:r>
    </w:p>
    <w:p w14:paraId="61E04BDB" w14:textId="77777777" w:rsidR="00064ABD" w:rsidRPr="00070D49" w:rsidRDefault="00064ABD" w:rsidP="00064AB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70D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Bolu Abant İzzet Baysal </w:t>
      </w:r>
      <w:proofErr w:type="spellStart"/>
      <w:r w:rsidRPr="00070D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University</w:t>
      </w:r>
      <w:proofErr w:type="spellEnd"/>
    </w:p>
    <w:p w14:paraId="74CB0C1D" w14:textId="77777777" w:rsidR="00064ABD" w:rsidRPr="00070D49" w:rsidRDefault="00064ABD" w:rsidP="00064ABD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7" w:history="1">
        <w:r w:rsidRPr="00070D49">
          <w:rPr>
            <w:rStyle w:val="Kpr"/>
            <w:rFonts w:ascii="Times New Roman" w:eastAsia="Calibri" w:hAnsi="Times New Roman" w:cs="Times New Roman"/>
            <w:color w:val="000000" w:themeColor="text1"/>
            <w:sz w:val="24"/>
            <w:szCs w:val="24"/>
          </w:rPr>
          <w:t>hkaradal@gmail.com</w:t>
        </w:r>
      </w:hyperlink>
    </w:p>
    <w:p w14:paraId="2C9CA288" w14:textId="77777777" w:rsidR="00064ABD" w:rsidRPr="00070D49" w:rsidRDefault="00064ABD" w:rsidP="00064AB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70D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Orcid</w:t>
      </w:r>
      <w:proofErr w:type="spellEnd"/>
      <w:r w:rsidRPr="00070D4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Pr="00070D49">
        <w:rPr>
          <w:rFonts w:ascii="Times New Roman" w:hAnsi="Times New Roman" w:cs="Times New Roman"/>
          <w:color w:val="000000" w:themeColor="text1"/>
          <w:sz w:val="24"/>
          <w:szCs w:val="24"/>
        </w:rPr>
        <w:t>0000-0002-8050-5564</w:t>
      </w:r>
    </w:p>
    <w:p w14:paraId="6FD27AAA" w14:textId="77777777" w:rsidR="00064ABD" w:rsidRPr="00064ABD" w:rsidRDefault="00064ABD" w:rsidP="00064AB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5CE528" w14:textId="5CD00D31" w:rsidR="00C10558" w:rsidRDefault="00C10558" w:rsidP="00C10558">
      <w:pPr>
        <w:rPr>
          <w:rFonts w:ascii="Times New Roman" w:hAnsi="Times New Roman" w:cs="Times New Roman"/>
          <w:sz w:val="28"/>
          <w:szCs w:val="28"/>
        </w:rPr>
      </w:pPr>
    </w:p>
    <w:p w14:paraId="3496EC97" w14:textId="0716497D" w:rsidR="00C10558" w:rsidRPr="00064ABD" w:rsidRDefault="00064ABD" w:rsidP="00064ABD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</w:t>
      </w:r>
    </w:p>
    <w:p w14:paraId="6E9865B1" w14:textId="77777777" w:rsidR="0015756A" w:rsidRPr="00064ABD" w:rsidRDefault="0015756A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examine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approaches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(service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enterprises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Turkish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Northern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Cyprus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(TRNC)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framework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S-O-R (Stimulus-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Response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model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also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comparatively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investigates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perceptual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differences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160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(65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95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visiting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reflecting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inflow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during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</w:t>
      </w:r>
      <w:proofErr w:type="gram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collection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period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gram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</w:t>
      </w:r>
      <w:proofErr w:type="gram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collected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through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five-point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Likert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scale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questionnaire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analyzed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SPSS 26.0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through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reliability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analysis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exploratory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factor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analysis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independent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samples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t-test,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Pearson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correlation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multiple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linear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regression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Findings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indicate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service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(β = 0.38),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(β = 0.29),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(β = 0.35)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positively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(R² = 0.61; F = 47.82; p </w:t>
      </w:r>
      <w:proofErr w:type="gram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&lt; 0.001</w:t>
      </w:r>
      <w:proofErr w:type="gram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Independent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samples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t-test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results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reveal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'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perceptions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(t = 2.97; p = 0.003).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Findings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supported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practical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recommendations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policy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enterprise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management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3B25828" w14:textId="41E2708B" w:rsidR="00D769FA" w:rsidRPr="00064ABD" w:rsidRDefault="0015756A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Keywords</w:t>
      </w:r>
      <w:proofErr w:type="spellEnd"/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S-O-R </w:t>
      </w:r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odel, </w:t>
      </w:r>
      <w:proofErr w:type="spellStart"/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TRNC, </w:t>
      </w:r>
      <w:proofErr w:type="spellStart"/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omestic-</w:t>
      </w:r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6023C5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omparison</w:t>
      </w:r>
      <w:proofErr w:type="spellEnd"/>
    </w:p>
    <w:p w14:paraId="02152148" w14:textId="77777777" w:rsidR="000A2B2D" w:rsidRPr="00064ABD" w:rsidRDefault="000A2B2D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5DDA3C3" w14:textId="0B3B180C" w:rsidR="00251AC0" w:rsidRPr="00064ABD" w:rsidRDefault="00D769FA" w:rsidP="00064ABD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INTRODUCTION</w:t>
      </w:r>
    </w:p>
    <w:p w14:paraId="15B3D37D" w14:textId="13A2B4BA" w:rsidR="008B193F" w:rsidRPr="00064ABD" w:rsidRDefault="008B193F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sector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become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strategic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element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directly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affects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competitiveness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destinations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service,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process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behavior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levels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become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attracted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intense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interest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academic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literature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years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Hjalager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2010;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Ryu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Jang, 20</w:t>
      </w:r>
      <w:r w:rsidR="00EC2B7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Zhang et al., 2023).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Especially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post-COVID-19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period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digitalization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gained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momentum, how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businesses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through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practices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become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critical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policy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management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question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Turkish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Republic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Northern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Cyprus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(TRNC) is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small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island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high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dependence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despite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However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perceptions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among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visiting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addressed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quantitative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framework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EC50EC5" w14:textId="17E6E456" w:rsidR="008B193F" w:rsidRPr="00064ABD" w:rsidRDefault="008B193F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answer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two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fundamental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questions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(1)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extent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do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approaches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(service,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businesses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(2)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difference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?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an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integrated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theoretical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framework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combining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SOR (Stimulus-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Response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model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(Pine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Gilmore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1999)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conducted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survey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method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supported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SPSS 26.0.</w:t>
      </w:r>
    </w:p>
    <w:p w14:paraId="42166E58" w14:textId="77777777" w:rsidR="00650AF1" w:rsidRPr="00064ABD" w:rsidRDefault="00650AF1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first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innovation-satisfaction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perspective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TRNC: </w:t>
      </w:r>
    </w:p>
    <w:p w14:paraId="7908D092" w14:textId="364D6D63" w:rsidR="00650AF1" w:rsidRPr="00064ABD" w:rsidRDefault="00650AF1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Existing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conducted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primarily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business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management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macroeconomic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perspectives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perception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tourist's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point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view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never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quantitatively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measured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Integrated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theoretical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framework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SOR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Combining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two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current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theoretical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models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context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provides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conceptual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originality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methodological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contribution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framework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rapidly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gaining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literature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2020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2024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Xi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Hamari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2021;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Stylos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 2022).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Comparative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profile: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generates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layered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findings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destination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managers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marketing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policymakers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1F726A9" w14:textId="6BC5346A" w:rsidR="006E74E0" w:rsidRPr="00064ABD" w:rsidRDefault="00650AF1" w:rsidP="00064ABD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8B193F"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LITERATURE REVIEW</w:t>
      </w:r>
    </w:p>
    <w:p w14:paraId="619310BC" w14:textId="6699E6EF" w:rsidR="006E74E0" w:rsidRPr="00064ABD" w:rsidRDefault="006E74E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Stimulus-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Response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(SOR) model,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Mehrabian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Russell (1974),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explains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how stimuli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environmental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service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perception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shape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consumer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behavior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through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cognitive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emotional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resulting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responses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purchase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intention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commitment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model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extensively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applied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hospitality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particularly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since 2018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Ryu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Jang, 20</w:t>
      </w:r>
      <w:r w:rsidR="008B10BB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07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Xi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Hamari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202</w:t>
      </w:r>
      <w:r w:rsidR="008B10BB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Current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literature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conducted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framework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SOR model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consistently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demonstrate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stimuli (mobile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applications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smart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room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systems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virtual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generate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positive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responses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revisit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intention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at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level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emotional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commitment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cognitive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evaluation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(Zhang et al., 2023;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Ritchie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20</w:t>
      </w:r>
      <w:r w:rsidR="007352C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context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current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dimensions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(service,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as stimuli;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cognitive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emotional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evaluation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positioned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response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component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46BD19B" w14:textId="77777777" w:rsidR="006E74E0" w:rsidRPr="00064ABD" w:rsidRDefault="006E74E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Pine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Gilmore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(1999)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argued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value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produced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businesses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creating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unforgettable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beyond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goods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services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found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application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field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relationships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destination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dimensions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participation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aesthetics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education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entertainment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escape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extensively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(Oh et al., 2007; Kim et al., 2020).</w:t>
      </w:r>
    </w:p>
    <w:p w14:paraId="2754EDF8" w14:textId="77777777" w:rsidR="006E74E0" w:rsidRPr="00064ABD" w:rsidRDefault="006E74E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years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dimension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integrated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role of service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improving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frequently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found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empirical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(Ali et al., 2021;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Stylos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 2022).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context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approaches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tool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strengthens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outputs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loyalty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recommendation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intention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14:paraId="4C5B9DB3" w14:textId="11215176" w:rsidR="006E74E0" w:rsidRPr="00064ABD" w:rsidRDefault="006E74E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classified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service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new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service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personalization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(mobile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artificial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intelligence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augmented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thematic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atmosphere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immersive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Hjalager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2010).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comprehensively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examined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perspectives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expectation-performance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comparison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(Oliver, 1980)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emotional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evaluation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Pizam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Ellis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1999).</w:t>
      </w:r>
    </w:p>
    <w:p w14:paraId="71BDBD6F" w14:textId="77777777" w:rsidR="006E74E0" w:rsidRPr="00064ABD" w:rsidRDefault="006E74E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Kim et al. (2020)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examined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smart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framework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SOR; they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found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stimuli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increased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Stylos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 (2022)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revealed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destination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perception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loyalty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European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Ali et al. (2021)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reported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plays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full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mediating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role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service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71938A6" w14:textId="353F526B" w:rsidR="006E74E0" w:rsidRPr="00064ABD" w:rsidRDefault="006E74E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context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comparison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Zhang et al. (2023),</w:t>
      </w:r>
      <w:r w:rsidR="00826D3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26D3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tudies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shown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attitudes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toward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tools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depending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background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familiarity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Ritchie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</w:t>
      </w:r>
      <w:r w:rsidR="00C14ACB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found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relationship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travel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motivation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perception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according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origin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findings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strongly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support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comparative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context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TRNC.</w:t>
      </w:r>
    </w:p>
    <w:p w14:paraId="70475453" w14:textId="77777777" w:rsidR="008B193F" w:rsidRPr="00064ABD" w:rsidRDefault="008B193F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BAA7794" w14:textId="56064936" w:rsidR="00034A5E" w:rsidRPr="00064ABD" w:rsidRDefault="00034A5E" w:rsidP="00064ABD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METHODOLOGY</w:t>
      </w:r>
    </w:p>
    <w:p w14:paraId="533ADC42" w14:textId="77777777" w:rsidR="00726884" w:rsidRPr="00064ABD" w:rsidRDefault="00034A5E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built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upon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integrated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theoretical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model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based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SOR model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Theory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Independent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variables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service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(HI),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(DI),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innovation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(EI);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dependent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variable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satisfaction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(TS);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classification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variable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type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model </w:t>
      </w:r>
      <w:proofErr w:type="spellStart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equation</w:t>
      </w:r>
      <w:proofErr w:type="spellEnd"/>
      <w:r w:rsidR="00726884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420B489" w14:textId="77777777" w:rsidR="00726884" w:rsidRPr="00064ABD" w:rsidRDefault="00726884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TS = β₀ + β₁(HI) + β₂(DI) + β₃(EI) + ε</w:t>
      </w:r>
    </w:p>
    <w:p w14:paraId="45BA961B" w14:textId="77777777" w:rsidR="00726884" w:rsidRPr="00064ABD" w:rsidRDefault="00726884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an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explanatory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comparative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cross-sectional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structure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A5FA1AD" w14:textId="04339662" w:rsidR="00726884" w:rsidRPr="00064ABD" w:rsidRDefault="00726884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population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October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December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2024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benefited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accommodation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food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beverage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services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21CA5718" w14:textId="590C617E" w:rsidR="00726884" w:rsidRDefault="00726884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Cohen's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(1988)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power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analysis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determine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size.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While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minimum of 52/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group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sufficient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detect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group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differences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independent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samples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t-test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under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conditions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moderate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size (d = 0.5), α = 0.05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1-β = 0.80,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total of 160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participants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meet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10:1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observation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/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variable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ratio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(160/15 = 10.7)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suggested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Hair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 (2019)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regression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analysis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period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October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December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2024,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access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intensified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chosen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</w:t>
      </w:r>
      <w:proofErr w:type="gram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collection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therefore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number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(n = 95)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naturally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exceeded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domestic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(n = 65).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Disproportionate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sampling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distribution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controlled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t-test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Levene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equal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variance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test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degrees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freedom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correction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Welch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t-test).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Surveys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administered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face-to-face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accommodation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facilities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sites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Nicosia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Famagusta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Kyrenia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581DF16" w14:textId="77777777" w:rsidR="00064ABD" w:rsidRDefault="00064ABD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BFDBB39" w14:textId="77777777" w:rsidR="00064ABD" w:rsidRPr="00064ABD" w:rsidRDefault="00064ABD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B050BDE" w14:textId="3137C7D6" w:rsidR="00726884" w:rsidRPr="00064ABD" w:rsidRDefault="00726884" w:rsidP="00064ABD">
      <w:pPr>
        <w:spacing w:before="240" w:after="8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>Tab</w:t>
      </w:r>
      <w:r w:rsidR="008A7E06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>le</w:t>
      </w:r>
      <w:proofErr w:type="spellEnd"/>
      <w:r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 xml:space="preserve"> 1</w:t>
      </w:r>
      <w:r w:rsidR="00055B85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="00055B85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>Demographic</w:t>
      </w:r>
      <w:proofErr w:type="spellEnd"/>
      <w:r w:rsidR="00055B85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055B85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>Characteristics</w:t>
      </w:r>
      <w:proofErr w:type="spellEnd"/>
      <w:r w:rsidR="00055B85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="00055B85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>the</w:t>
      </w:r>
      <w:proofErr w:type="spellEnd"/>
      <w:r w:rsidR="00055B85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055B85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>Sample</w:t>
      </w:r>
      <w:proofErr w:type="spellEnd"/>
      <w:r w:rsidR="00055B85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 xml:space="preserve"> </w:t>
      </w:r>
      <w:r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 xml:space="preserve">(n = 160; </w:t>
      </w:r>
      <w:proofErr w:type="spellStart"/>
      <w:r w:rsidR="008A7E06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>Domestic</w:t>
      </w:r>
      <w:proofErr w:type="spellEnd"/>
      <w:r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 xml:space="preserve"> = 65, </w:t>
      </w:r>
      <w:r w:rsidR="008A7E06"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>International</w:t>
      </w:r>
      <w:r w:rsidRPr="00064AB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tr-TR"/>
        </w:rPr>
        <w:t xml:space="preserve"> = 95)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2329"/>
        <w:gridCol w:w="1009"/>
        <w:gridCol w:w="1009"/>
        <w:gridCol w:w="896"/>
        <w:gridCol w:w="1109"/>
      </w:tblGrid>
      <w:tr w:rsidR="00064ABD" w:rsidRPr="00064ABD" w14:paraId="30045728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5038D5E" w14:textId="7D1D03D1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Variable</w:t>
            </w:r>
            <w:proofErr w:type="spellEnd"/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4530C37" w14:textId="51D8394D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Category</w:t>
            </w:r>
            <w:proofErr w:type="spellEnd"/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108753E" w14:textId="31DEDF79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Domestic</w:t>
            </w:r>
            <w:proofErr w:type="spellEnd"/>
            <w:r w:rsidR="00726884" w:rsidRPr="00064A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n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592AEFB" w14:textId="77777777" w:rsidR="00055B85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Domestic</w:t>
            </w:r>
            <w:proofErr w:type="spellEnd"/>
          </w:p>
          <w:p w14:paraId="7C86AE80" w14:textId="196011AC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6D533E6" w14:textId="77777777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Foreign</w:t>
            </w:r>
            <w:proofErr w:type="spellEnd"/>
          </w:p>
          <w:p w14:paraId="55E162AE" w14:textId="7C34D684" w:rsidR="00055B85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gram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</w:t>
            </w:r>
            <w:proofErr w:type="gramEnd"/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F9C9BA2" w14:textId="77777777" w:rsidR="00055B85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Foreign</w:t>
            </w:r>
            <w:proofErr w:type="spellEnd"/>
          </w:p>
          <w:p w14:paraId="4293828E" w14:textId="673CB946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064ABD" w:rsidRPr="00064ABD" w14:paraId="1787AF9B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1905DA4" w14:textId="2B6BD667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Gender</w:t>
            </w:r>
            <w:proofErr w:type="spellEnd"/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A653AB1" w14:textId="6263E435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Male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889512B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6FBD9A6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47,7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6D9BF40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A8ABD29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50,5</w:t>
            </w:r>
          </w:p>
        </w:tc>
      </w:tr>
      <w:tr w:rsidR="00064ABD" w:rsidRPr="00064ABD" w14:paraId="26B2DD30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B687B64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2527A02" w14:textId="5694A2DE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Female</w:t>
            </w:r>
            <w:proofErr w:type="spellEnd"/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11F4790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80938EF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52,3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4D9D63B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3FC721F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49,5</w:t>
            </w:r>
          </w:p>
        </w:tc>
      </w:tr>
      <w:tr w:rsidR="00064ABD" w:rsidRPr="00064ABD" w14:paraId="54CFEBC4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6DC50AE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Yaş</w:t>
            </w: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D0FFFAC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18–30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9D048DF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6884F41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26,2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6554BF4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14F933A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35,8</w:t>
            </w:r>
          </w:p>
        </w:tc>
      </w:tr>
      <w:tr w:rsidR="00064ABD" w:rsidRPr="00064ABD" w14:paraId="352088E7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79493EC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9FB96C8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31–45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3D44C86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28890A9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43,1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C229761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6166B55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38,9</w:t>
            </w:r>
          </w:p>
        </w:tc>
      </w:tr>
      <w:tr w:rsidR="00064ABD" w:rsidRPr="00064ABD" w14:paraId="1D9AA0CF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C30C469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5EBB65A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46+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EBF7C1A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308D062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30,8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42EF867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8FC2EC3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25,3</w:t>
            </w:r>
          </w:p>
        </w:tc>
      </w:tr>
      <w:tr w:rsidR="00064ABD" w:rsidRPr="00064ABD" w14:paraId="16B2F10D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017F5B6" w14:textId="168D540F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</w:t>
            </w:r>
            <w:r w:rsidR="00055B85"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ducation</w:t>
            </w:r>
            <w:proofErr w:type="spellEnd"/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23A1468" w14:textId="1124FAE8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Undergraduate</w:t>
            </w:r>
            <w:proofErr w:type="spellEnd"/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92DAE4D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884959D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56,9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16C997B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E48B776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46,3</w:t>
            </w:r>
          </w:p>
        </w:tc>
      </w:tr>
      <w:tr w:rsidR="00064ABD" w:rsidRPr="00064ABD" w14:paraId="2691F82F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9D648A0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CAD1836" w14:textId="49608DF6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Graduate</w:t>
            </w:r>
            <w:proofErr w:type="spellEnd"/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786B3A5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5A6AD97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27,7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65E3C04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8314E34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37,9</w:t>
            </w:r>
          </w:p>
        </w:tc>
      </w:tr>
      <w:tr w:rsidR="00064ABD" w:rsidRPr="00064ABD" w14:paraId="6F4D1CC3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8EAEE01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7B9686A" w14:textId="7C0117A0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Other</w:t>
            </w:r>
            <w:proofErr w:type="spellEnd"/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EE7925C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4E6A3F9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15,4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F2D450D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6BEC309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15,8</w:t>
            </w:r>
          </w:p>
        </w:tc>
      </w:tr>
      <w:tr w:rsidR="00064ABD" w:rsidRPr="00064ABD" w14:paraId="1FF34209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C5565A3" w14:textId="03AA197A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Visit</w:t>
            </w:r>
            <w:proofErr w:type="spellEnd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Frequency</w:t>
            </w:r>
            <w:proofErr w:type="spellEnd"/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32927B5" w14:textId="2848811B" w:rsidR="00726884" w:rsidRPr="00064ABD" w:rsidRDefault="00055B85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First Time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CE53096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4F859846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32,3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32F8E98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27E3CE7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66,3</w:t>
            </w:r>
          </w:p>
        </w:tc>
      </w:tr>
      <w:tr w:rsidR="00064ABD" w:rsidRPr="00064ABD" w14:paraId="42B1614B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2391E1F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744576B5" w14:textId="02BECA16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2–3 </w:t>
            </w:r>
            <w:r w:rsidR="001858D2"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Times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7E7E9BA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06FE54AC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41,5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660304A0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CD56C88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23,2</w:t>
            </w:r>
          </w:p>
        </w:tc>
      </w:tr>
      <w:tr w:rsidR="00064ABD" w:rsidRPr="00064ABD" w14:paraId="63DA7C1A" w14:textId="77777777" w:rsidTr="0074031C">
        <w:tc>
          <w:tcPr>
            <w:tcW w:w="2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9EE4374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49E7E60" w14:textId="50E3F75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4+ </w:t>
            </w:r>
            <w:r w:rsidR="001858D2"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Times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F62FC6C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537A8304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26,2</w:t>
            </w:r>
          </w:p>
        </w:tc>
        <w:tc>
          <w:tcPr>
            <w:tcW w:w="9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1E010ABE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1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9FF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2905F025" w14:textId="77777777" w:rsidR="00726884" w:rsidRPr="00064ABD" w:rsidRDefault="00726884" w:rsidP="00064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064A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10,5</w:t>
            </w:r>
          </w:p>
        </w:tc>
      </w:tr>
    </w:tbl>
    <w:p w14:paraId="6A7C071D" w14:textId="77777777" w:rsidR="00726884" w:rsidRPr="00064ABD" w:rsidRDefault="00726884" w:rsidP="00064ABD">
      <w:pPr>
        <w:spacing w:before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85D429B" w14:textId="4C3144C6" w:rsidR="00E94480" w:rsidRPr="00064ABD" w:rsidRDefault="00055B85" w:rsidP="00064ABD">
      <w:pPr>
        <w:spacing w:before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ab/>
      </w:r>
      <w:r w:rsidR="00E94480"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RESULTS</w:t>
      </w:r>
    </w:p>
    <w:p w14:paraId="56C48B4D" w14:textId="56F22F14" w:rsidR="00A80396" w:rsidRPr="00064ABD" w:rsidRDefault="00E9448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representation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on global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quite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low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compared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Mediterranean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countries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main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reason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country's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On global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is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often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listed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"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Northern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Cyprus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"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sometimes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just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"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Cyprus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",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which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creates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difficulties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destination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branding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(Altınay &amp;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Bowen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2017).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According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findings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obtained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expert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interviews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62% of hotel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operators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stated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they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being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listed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global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There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difficulties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especially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payment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systems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legal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status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Most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Mediterranean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countries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their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own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national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travel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which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support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their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strategies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strengthen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ecosystem</w:t>
      </w:r>
      <w:proofErr w:type="spellEnd"/>
      <w:r w:rsidR="00A80396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4C8B390" w14:textId="77777777" w:rsidR="00A80396" w:rsidRPr="00064ABD" w:rsidRDefault="00A80396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Spain’s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Spain.info platform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enriched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augmented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(AR)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virtual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(VR)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platform,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which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personalized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travel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recommendations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artificial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intelligence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algorithms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stands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especially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post-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pandemic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period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contactless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 2016).</w:t>
      </w:r>
    </w:p>
    <w:p w14:paraId="729D53A8" w14:textId="77777777" w:rsidR="00A80396" w:rsidRPr="00064ABD" w:rsidRDefault="00A80396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Italy’s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Italia.it platform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focuses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heritage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gastronomy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marketplaces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bring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producers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together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France’s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France.fr platform,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draws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attention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AI-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supported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personalized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recommendations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sustainable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routes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Mariani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et al., 2018).</w:t>
      </w:r>
    </w:p>
    <w:p w14:paraId="189F44A7" w14:textId="6B48D8E2" w:rsidR="00A80396" w:rsidRPr="00064ABD" w:rsidRDefault="00A80396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TRNC’s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Visitnorthcyprus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platform,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features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’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platform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provides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basic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but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advanced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(AR/VR,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artificial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intelligence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gram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</w:t>
      </w:r>
      <w:proofErr w:type="gram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analytics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According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interviews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platform’s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infrastructure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content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management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2597CE05" w14:textId="2E0AFD40" w:rsidR="000A6288" w:rsidRPr="00064ABD" w:rsidRDefault="000A6288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new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segment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gained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importance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sector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years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allow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gastronomy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lifestyle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while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also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improving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distribution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revenues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population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While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focused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gastronomy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Spain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Italy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authentic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island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life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popular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Greece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Croatia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stands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out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film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organizing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popular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Game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Thrones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filmed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Vodeb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Rudež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2017).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presence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quite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According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interviews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underdeveloped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entrepreneurship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ecosystem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However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73%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potential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unique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values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gastronomy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natural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beauties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9F720B9" w14:textId="36A3FF9F" w:rsidR="000A6288" w:rsidRPr="00064ABD" w:rsidRDefault="000A6288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TRNC’s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competitive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disadvantages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paradoxically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create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opportunities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niche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markets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According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interviews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niche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markets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can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focus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28AF4614" w14:textId="77777777" w:rsidR="000A6288" w:rsidRPr="00064ABD" w:rsidRDefault="000A6288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Gambling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casino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games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sector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potential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especially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those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appeal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Turkish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market.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Package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VIP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services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loyalty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applications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gambling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720442E" w14:textId="77777777" w:rsidR="000A6288" w:rsidRPr="00064ABD" w:rsidRDefault="000A6288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Health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Health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particularly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competitive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in vitro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fertilization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dental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treatments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opportunities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health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telehealth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applications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BE48D86" w14:textId="77777777" w:rsidR="000A6288" w:rsidRPr="00064ABD" w:rsidRDefault="000A6288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Education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Online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campus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educational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consultancy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applications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students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TRNC.</w:t>
      </w:r>
    </w:p>
    <w:p w14:paraId="6FFC7F38" w14:textId="4C92424A" w:rsidR="000A6288" w:rsidRPr="00064ABD" w:rsidRDefault="000A6288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Nostalgia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virtual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diaspora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Cypriot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origin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allowing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discover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their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roots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4A9695A" w14:textId="77777777" w:rsidR="000A6288" w:rsidRPr="00064ABD" w:rsidRDefault="000A6288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Karaoğlu (2018)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states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TRNC’s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focus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niche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markets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provide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competitive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advantage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partially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overcoming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especially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Turkish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market can be an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important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growth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323B6BA7" w14:textId="77777777" w:rsidR="000A6288" w:rsidRPr="00064ABD" w:rsidRDefault="000A6288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1196E72" w14:textId="150F50C0" w:rsidR="00A80396" w:rsidRPr="00064ABD" w:rsidRDefault="00BA1B93" w:rsidP="00064ABD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DISCUSSIONS</w:t>
      </w:r>
    </w:p>
    <w:p w14:paraId="02F6CFA9" w14:textId="4F544F46" w:rsidR="00BA1B93" w:rsidRPr="00064ABD" w:rsidRDefault="00555AB2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biggest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obstacles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entrepreneurship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is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lack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technical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infrastructure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qualified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human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resources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According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expert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interviews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needs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development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internet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infrastructure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access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cloud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services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payment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systems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suggestions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solve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problem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</w:t>
      </w:r>
      <w:proofErr w:type="spellStart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follows</w:t>
      </w:r>
      <w:proofErr w:type="spellEnd"/>
      <w:r w:rsidR="00BA1B9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51892D82" w14:textId="77777777" w:rsidR="00BA1B93" w:rsidRPr="00064ABD" w:rsidRDefault="00BA1B93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University-Sector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Cooperation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Cooperation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universities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sector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tourism-focused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training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certificates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created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6A3A707" w14:textId="77777777" w:rsidR="00BA1B93" w:rsidRPr="00064ABD" w:rsidRDefault="00BA1B93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Incubation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Centers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incubation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centers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acceleration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focusing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initiatives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implemented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F4B7702" w14:textId="77777777" w:rsidR="00BA1B93" w:rsidRPr="00064ABD" w:rsidRDefault="00BA1B93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Programs: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Incentive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facilities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provided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attract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competent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foreign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field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3CB734E" w14:textId="60062DC8" w:rsidR="00BA1B93" w:rsidRPr="00064ABD" w:rsidRDefault="00BA1B93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Partnerships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Companies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Türkiye: Strategic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partnerships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established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successful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companies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Türkiye.</w:t>
      </w:r>
    </w:p>
    <w:p w14:paraId="47887AEA" w14:textId="1F01D6BC" w:rsidR="00196A83" w:rsidRPr="00064ABD" w:rsidRDefault="00BA1B93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Şahin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Öztürk (2019)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emphasize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importance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training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support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increase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competencies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enterprises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Capacity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building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programs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importance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especially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transformation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small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medium-sized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enterprises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Financing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startups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is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difficult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due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issues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Access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global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venture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capital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funds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investors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Altınay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Bowen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(20</w:t>
      </w:r>
      <w:r w:rsidR="004C5168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06</w:t>
      </w:r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examined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difficulties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created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TRNC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stated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opportunities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partially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overcome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these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particular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blockchain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technology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distributed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systems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play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important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role in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reducing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economic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political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="00196A83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59E04E27" w14:textId="77777777" w:rsidR="00196A83" w:rsidRPr="00064ABD" w:rsidRDefault="00196A83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EE54264" w14:textId="07999DAF" w:rsidR="00A80396" w:rsidRPr="00064ABD" w:rsidRDefault="00196A83" w:rsidP="00064ABD">
      <w:pPr>
        <w:spacing w:before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CONCLUSION</w:t>
      </w:r>
    </w:p>
    <w:p w14:paraId="0EBA9EF1" w14:textId="77777777" w:rsidR="00922AF0" w:rsidRPr="00064ABD" w:rsidRDefault="00922AF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comparatively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analyzed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travel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Mediterranean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evaluated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entrepreneurship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opportunities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results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show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that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is at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stage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ecosystem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Mediterranean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but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right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strategies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situation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turned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opportunity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5EB31AD" w14:textId="7958DC20" w:rsidR="00922AF0" w:rsidRPr="00064ABD" w:rsidRDefault="00922AF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findings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summarized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follows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7ADD756A" w14:textId="77777777" w:rsidR="00922AF0" w:rsidRPr="00064ABD" w:rsidRDefault="00922AF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Global Platform Access: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representation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on global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travel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issues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presence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businesses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on global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Booking.com,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Airbnb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Expedia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low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CEE4CDC" w14:textId="77777777" w:rsidR="00922AF0" w:rsidRPr="00064ABD" w:rsidRDefault="00922AF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travel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platform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(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Visitnorthcyprus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features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compared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Mediterranean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Spain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Italy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France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have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developed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advanced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using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AR/VR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artificial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intelligence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data</w:t>
      </w:r>
      <w:proofErr w:type="gram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analytics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7D075661" w14:textId="77777777" w:rsidR="00922AF0" w:rsidRPr="00064ABD" w:rsidRDefault="00922AF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presence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experience-focused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is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However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Spain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Italy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Greece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platforms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offering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gastronomy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cultural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authentic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lifestyles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widespread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D89CBDD" w14:textId="77777777" w:rsidR="00922AF0" w:rsidRPr="00064ABD" w:rsidRDefault="00922AF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Entrepreneurship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Opportunities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significant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entrepreneurship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opportunities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areas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niche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markets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experience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economy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cross-border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cooperation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sustainable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A5EA43E" w14:textId="77777777" w:rsidR="00922AF0" w:rsidRPr="00064ABD" w:rsidRDefault="00922AF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Challenges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challenges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facing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entrepreneurship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inadequate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technical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infrastructure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lack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qualified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human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resources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financing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difficulties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4F2657E3" w14:textId="60909B78" w:rsidR="00480EE1" w:rsidRPr="00064ABD" w:rsidRDefault="00C3591F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This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has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some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limitations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First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number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academic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ecosystem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which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scope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literature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review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addition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field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face-to-face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interviews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were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limited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due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COVID-19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pandemic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studies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include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measure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effectiveness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solutions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for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specific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segments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gambling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health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education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in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in-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depth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research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cooperation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models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between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80EE1"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Turkey</w:t>
      </w:r>
      <w:proofErr w:type="spellEnd"/>
    </w:p>
    <w:p w14:paraId="1C18DD56" w14:textId="77777777" w:rsidR="00C3591F" w:rsidRPr="00064ABD" w:rsidRDefault="00C3591F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Taking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account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unique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conditions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TRNC,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lessons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should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learned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from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successful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models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other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Mediterranean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countries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adapted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conditions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Thus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TRNC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can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increase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competitiveness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partially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overcome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recognition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problems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accelerating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the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digital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transformation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process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1972B050" w14:textId="0036260C" w:rsidR="004A61A3" w:rsidRPr="00064ABD" w:rsidRDefault="004A61A3" w:rsidP="00064ABD">
      <w:pPr>
        <w:spacing w:before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7E87305" w14:textId="319CEC59" w:rsidR="0010438F" w:rsidRPr="00064ABD" w:rsidRDefault="00480EE1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REFERENCES</w:t>
      </w:r>
    </w:p>
    <w:p w14:paraId="32D3EF36" w14:textId="298B3409" w:rsidR="00762EA9" w:rsidRPr="00064ABD" w:rsidRDefault="00762EA9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Ali, B. J.,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Gardi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B.,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Othman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B. J., Ahmed, S. A.,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Ismael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N. B., Hamza, P. A., Aziz, H. M.,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Sabir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S. Y. (2021). Hotel service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quality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impact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service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quality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customer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satisfaction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hospitality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International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Engineering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, Business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Management, 5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(3), 14–28. </w:t>
      </w:r>
      <w:hyperlink r:id="rId8" w:tgtFrame="_new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https://doi.org/10.22161/ijebm.5.3.2</w:t>
        </w:r>
      </w:hyperlink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4559F8D7" w14:textId="078CBD31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Alipour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H.,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Kilic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H. (2005). An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institutional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appraisal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development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planning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case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Turkish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Republic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North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Cyprus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(TRNC).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Management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26(1), 79-94. </w:t>
      </w:r>
      <w:hyperlink r:id="rId9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https://doi.org/10.1016/j.tourman.2003.08.017</w:t>
        </w:r>
      </w:hyperlink>
      <w:r w:rsidR="00555AB2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C85BBA2" w14:textId="6389F00F" w:rsidR="00A12092" w:rsidRPr="00064ABD" w:rsidRDefault="00A12092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Altınay, L.,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Bowen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D. (20</w:t>
      </w:r>
      <w:r w:rsidR="00A4515D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06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Politics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interface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case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Cyprus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Annals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33(4), 939-956. </w:t>
      </w:r>
      <w:hyperlink r:id="rId10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https://doi.org/10.1016/j.annals.2006.03.020</w:t>
        </w:r>
      </w:hyperlink>
      <w:r w:rsidR="00555AB2" w:rsidRPr="00064ABD">
        <w:rPr>
          <w:rStyle w:val="Kpr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tr-TR"/>
        </w:rPr>
        <w:t>.</w:t>
      </w:r>
    </w:p>
    <w:p w14:paraId="127BBE78" w14:textId="4EE8E74A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Avdimiotis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S.,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Poulaki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I. (2019).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Airbnb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impact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regulation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issues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through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destination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life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cycle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concept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Futures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,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5(1), 60-69. </w:t>
      </w:r>
      <w:hyperlink r:id="rId11" w:history="1">
        <w:r w:rsidR="00A4515D"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https://doi.org/10.1108/JTF-03-2018-0016</w:t>
        </w:r>
      </w:hyperlink>
      <w:r w:rsidR="00A4515D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3C9078FE" w14:textId="06D83822" w:rsidR="00A4515D" w:rsidRPr="00064ABD" w:rsidRDefault="00A4515D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Belias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D.,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Kyriakou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D.,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Koustelios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Varsanis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K.,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Aspridis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G. (2019).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impact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Airbnb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hotels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'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financial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performance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Evidence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from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Mediterranean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destination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In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Global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Hospitality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Management Technologies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pp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24–38). </w:t>
      </w:r>
      <w:hyperlink r:id="rId12" w:tgtFrame="_new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https://doi.org/10.4018/978-1-5225-9172-7.ch002</w:t>
        </w:r>
      </w:hyperlink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0553B2AD" w14:textId="61A16F87" w:rsidR="0022009A" w:rsidRPr="00064ABD" w:rsidRDefault="0022009A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Boes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K.,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Buhalis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D.,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Inversini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A. (2016). Smart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destinations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="008F53D8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cosystems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destination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competitiveness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International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Cities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2(2), 108-124. </w:t>
      </w:r>
      <w:hyperlink r:id="rId13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https://doi.org/10.1108/IJTC-12-2015-0032</w:t>
        </w:r>
      </w:hyperlink>
      <w:r w:rsidR="00555AB2" w:rsidRPr="00064ABD">
        <w:rPr>
          <w:rStyle w:val="Kpr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tr-TR"/>
        </w:rPr>
        <w:t>.</w:t>
      </w:r>
    </w:p>
    <w:p w14:paraId="6929AE32" w14:textId="7CC65C9D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Buhalis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D.,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Amaranggana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A. (2015). Smart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destinations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enhancing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experience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through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personalisation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services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Information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Communication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Technologies in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377-389. </w:t>
      </w:r>
      <w:hyperlink r:id="rId14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https://doi.org/10.1007/978-3-319-14343-9_28</w:t>
        </w:r>
      </w:hyperlink>
      <w:r w:rsidR="00555AB2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7F0CAAD9" w14:textId="112D5F75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Buhalis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D.,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Law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R. (2008).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Progress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information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technology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management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20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years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10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years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after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Internet</w:t>
      </w:r>
      <w:r w:rsidR="00D73BAE"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—</w:t>
      </w:r>
      <w:r w:rsidR="006E6704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state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Management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29(4), 609-623. </w:t>
      </w:r>
      <w:hyperlink r:id="rId15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https://doi.org/10.1016/j.tourman.2008.01.005</w:t>
        </w:r>
      </w:hyperlink>
      <w:r w:rsidR="00555AB2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24033C3F" w14:textId="3653AB60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Del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Vecchio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P., Mele, G.,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Ndou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V.,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Secundo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G. (2018).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Creating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value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from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social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data</w:t>
      </w:r>
      <w:proofErr w:type="gram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Implications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smart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destinations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Information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Processing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&amp; Management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54(5), 847-860. </w:t>
      </w:r>
      <w:hyperlink r:id="rId16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https://doi.org/10.1016/j.ipm.2017.10.006</w:t>
        </w:r>
      </w:hyperlink>
      <w:r w:rsidR="00555AB2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0DDB45E7" w14:textId="69B7BA7B" w:rsidR="006A663D" w:rsidRPr="00064ABD" w:rsidRDefault="006A663D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 xml:space="preserve">Ekiz, E. H., &amp; Köker, N. E. (2012). Destinasyon tatmininin belirleyicileri: Kuzey Kıbrıs Türk Cumhuriyeti'ni ziyaret eden yabancı turistlerin algılamaları.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Global Media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Turkish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Edition, 2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(4), 43–60.</w:t>
      </w:r>
    </w:p>
    <w:p w14:paraId="2CF7478F" w14:textId="5F2AF3E3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Erdoğan, H. E., &amp; Babacan, E. (2012). Otel endüstrisinde internet kullanımı: Hong Kong ve KKTC otel endüstrilerinin karşılaştırılması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. Anatolia: Turizm Araştırmaları Dergisi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23(1), 45-58.</w:t>
      </w:r>
    </w:p>
    <w:p w14:paraId="2580F378" w14:textId="61CDFC44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Femenia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-Serra, F.,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Ivars-Baidal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J. A. (2021). Do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smart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destinations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really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work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?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Evidence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from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Spanish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Mediterranean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coast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Destination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Marketing &amp; Management,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19, 100547. </w:t>
      </w:r>
      <w:hyperlink r:id="rId17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https://doi.org/10.1016/j.jdmm.2020.100547</w:t>
        </w:r>
      </w:hyperlink>
      <w:r w:rsidR="00555AB2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F09171C" w14:textId="32C24496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Gössling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S. (2017).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information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technologies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sustainability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an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exploratory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review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Sustainable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25(7), 1024-1041. </w:t>
      </w:r>
      <w:hyperlink r:id="rId18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https://doi.org/10.1080/09669582.2015.1122017</w:t>
        </w:r>
      </w:hyperlink>
      <w:r w:rsidR="00555AB2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7A4374C9" w14:textId="41F71DBE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Güzeloğlu, E. B., &amp; Aktaş, E. (2020).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Digital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marketing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strategies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small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medium-sized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enterprises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case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North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Cyprus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sector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Business &amp; Management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Studies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An International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,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8(1), 333-357. </w:t>
      </w:r>
      <w:hyperlink r:id="rId19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https://doi.org/10.15295/bmij.v8i1.1358</w:t>
        </w:r>
      </w:hyperlink>
      <w:r w:rsidR="002C21BC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35D51087" w14:textId="78FA2B66" w:rsidR="00C1190F" w:rsidRPr="00064ABD" w:rsidRDefault="00C1190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Hjalager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A.-M. (2010). A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review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innovation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Management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31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(1), 1–12. </w:t>
      </w:r>
      <w:hyperlink r:id="rId20" w:tgtFrame="_new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https://doi.org/10.1016/j.tourman.2009.08.012</w:t>
        </w:r>
      </w:hyperlink>
    </w:p>
    <w:p w14:paraId="08E44386" w14:textId="2AFF200A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Karaoğlu, M. (2018). Türkiye-KKTC ilişkilerinde turizm sektörünün rolü.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Yönetim ve Ekonomi Araştırmaları Dergisi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16(3), 89-112. </w:t>
      </w:r>
      <w:hyperlink r:id="rId21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https://doi.org/10.11611/yead.423076</w:t>
        </w:r>
      </w:hyperlink>
      <w:r w:rsidR="002C21BC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187CDA87" w14:textId="3AFFB240" w:rsidR="00BC4874" w:rsidRPr="00064ABD" w:rsidRDefault="00BC4874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Kim, M. J., Lee, C. K.,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Preis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M. W. (2020).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impact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innovation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authenticity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virtual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reality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experience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satisfaction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behavioral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intention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Telematics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Informatics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, 49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101349.  </w:t>
      </w:r>
      <w:hyperlink r:id="rId22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https://doi.org/10.1016/j.tele.2020.101349</w:t>
        </w:r>
      </w:hyperlink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CE270B6" w14:textId="679EECC9" w:rsidR="00A4515D" w:rsidRPr="00064ABD" w:rsidRDefault="00A4515D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KKTC Turizm Planlama Dairesi. (2023).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Turistik tesislerin sınıflara göre dağılımı ve yatak kapasitesi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hyperlink r:id="rId23" w:tgtFrame="_new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https://turizmplanlama.gov.ct.tr/</w:t>
        </w:r>
      </w:hyperlink>
    </w:p>
    <w:p w14:paraId="6699BE6A" w14:textId="00E91436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Mariani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M. M.,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Baggio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R.,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Fuchs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M.,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Höepken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W. (2018). Business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intelligence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gram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data</w:t>
      </w:r>
      <w:proofErr w:type="gram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hospitality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A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systematic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literature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review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. International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Contemporary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Hospitality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Management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30(12), 3514-3554. </w:t>
      </w:r>
      <w:hyperlink r:id="rId24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https://doi.org/10.1108/IJCHM-07-2017-0461</w:t>
        </w:r>
      </w:hyperlink>
      <w:r w:rsidR="002C21BC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11F54146" w14:textId="4057FAE2" w:rsidR="006E668D" w:rsidRPr="00064ABD" w:rsidRDefault="006E668D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Mehrabian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A., &amp; Russell, J. A. (1974).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An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approach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environmental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psychology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MIT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Press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0A408107" w14:textId="266D7D1D" w:rsidR="00BC4874" w:rsidRPr="00064ABD" w:rsidRDefault="00BC4874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Oh, H.,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Fiore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A. M.,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Jeoung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M. (2007).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Measuring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experience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economy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concepts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applications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Travel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, 46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(2), 119–132. </w:t>
      </w:r>
      <w:hyperlink r:id="rId25" w:tgtFrame="_new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https://doi.org/10.1177/0047287507304039</w:t>
        </w:r>
      </w:hyperlink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6D844033" w14:textId="637D2D8B" w:rsidR="00D714D8" w:rsidRPr="00064ABD" w:rsidRDefault="00D714D8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Oliver, R. L. (1980). A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cognitive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model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antecedents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consequences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satisfaction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decisions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Marketing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, 17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(4), 460–469. </w:t>
      </w:r>
      <w:hyperlink r:id="rId26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https://doi.org/10.2307/3150499</w:t>
        </w:r>
      </w:hyperlink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332ACCEA" w14:textId="20777842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lastRenderedPageBreak/>
        <w:t>Paulauskaite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D.,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Powell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R.,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Coca‐Stefaniak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J. A., &amp; Morrison, A. M. (2017).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Living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like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a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local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Authentic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experiences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sharing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economy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International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19(6), 619-628. </w:t>
      </w:r>
      <w:hyperlink r:id="rId27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https://doi.org/10.1002/jtr.2134</w:t>
        </w:r>
      </w:hyperlink>
      <w:r w:rsidR="002C21BC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72F2B605" w14:textId="59D35D28" w:rsidR="008A1DC8" w:rsidRPr="00064ABD" w:rsidRDefault="008A1DC8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Pine, B. J.,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Gilmore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J. H. (1999).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experience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economy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Work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is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theatre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every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business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a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stage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Harvard Business School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Press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69AEDECE" w14:textId="2D2CEEDE" w:rsidR="00932B08" w:rsidRPr="00064ABD" w:rsidRDefault="00932B08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Pizam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A.,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Ellis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T. (1999).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Customer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satisfaction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its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measurement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in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hospitality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enterprises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International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Contemporary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Hospitality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Management, 11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(7), 326–339. </w:t>
      </w:r>
      <w:hyperlink r:id="rId28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https://doi.org/10.1108/09596119910293231</w:t>
        </w:r>
      </w:hyperlink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3B8ACC43" w14:textId="16E7EF45" w:rsidR="00EC2B73" w:rsidRPr="00064ABD" w:rsidRDefault="00EC2B73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Ryu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K., &amp; Jang, S. S. (2007).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effect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environmental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perceptions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behavioral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intentions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through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emotions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case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upscale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restaurants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Hospitality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&amp;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, 31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(1), 56–72. </w:t>
      </w:r>
      <w:hyperlink r:id="rId29" w:tgtFrame="_new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https://doi.org/10.1177/1096348006295506</w:t>
        </w:r>
      </w:hyperlink>
      <w:r w:rsidR="006A663D" w:rsidRPr="00064ABD">
        <w:rPr>
          <w:rStyle w:val="Kpr"/>
          <w:rFonts w:ascii="Times New Roman" w:eastAsia="Times New Roman" w:hAnsi="Times New Roman" w:cs="Times New Roman"/>
          <w:color w:val="000000" w:themeColor="text1"/>
          <w:sz w:val="24"/>
          <w:szCs w:val="24"/>
          <w:u w:val="none"/>
          <w:lang w:eastAsia="tr-TR"/>
        </w:rPr>
        <w:t>.</w:t>
      </w:r>
    </w:p>
    <w:p w14:paraId="0E122C57" w14:textId="42F8A3A8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Sigala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M. (2020).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COVID-19: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Impacts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implications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for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advancing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resetting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industry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Business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117, 312-321. </w:t>
      </w:r>
      <w:hyperlink r:id="rId30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https://doi.org/10.1016/j.jbusres.2020.06.015</w:t>
        </w:r>
      </w:hyperlink>
      <w:r w:rsidR="006B5024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6A3BBBED" w14:textId="0A3A7C41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Stankov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U.,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Gretzel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U. (2020).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4.0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technologies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experiences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a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human-centered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design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perspective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Information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Technology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&amp;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22(3), 477-488. </w:t>
      </w:r>
      <w:hyperlink r:id="rId31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https://doi.org/10.1007/s40558-020-00186-z</w:t>
        </w:r>
      </w:hyperlink>
      <w:r w:rsidR="00555AB2"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289CE6FE" w14:textId="699FB2D9" w:rsidR="008B10BB" w:rsidRPr="00064ABD" w:rsidRDefault="008B10BB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Stylos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N.,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Bigné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E.,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Bellou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V. (2022).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affective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impact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sightseeing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bus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experiences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: Using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Affective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Events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Theory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(AET)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examine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length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-of-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stay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electronic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word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-of-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mouth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Anatolia: An International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Journal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and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Hospitality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hyperlink r:id="rId32" w:tgtFrame="_new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https://doi.org/10.1080/02508281.2022.2101273</w:t>
        </w:r>
      </w:hyperlink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51ECE139" w14:textId="4E640590" w:rsidR="00EC2B73" w:rsidRPr="00064ABD" w:rsidRDefault="00EC2B73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Şahin, G., &amp; Öztürk, Y. (2019). Turizm işletmelerinde dijital pazarlama stratejileri: KKTC örneği.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Üçüncü Sektör Sosyal Ekonomi Dergisi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54(3), 1252-1270. </w:t>
      </w:r>
      <w:hyperlink r:id="rId33" w:history="1">
        <w:r w:rsidRPr="00064AB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https://doi.org/10.15659/3.sektor-sosyal-ekonomi.19.07.1145</w:t>
        </w:r>
      </w:hyperlink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6E3643F2" w14:textId="393D5062" w:rsidR="008D6BF1" w:rsidRPr="00064ABD" w:rsidRDefault="008D6BF1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Tung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V. W. S., &amp;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Ritchie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J. R. B. (2011).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Exploring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the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essence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memorable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experiences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Annals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Research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, 38</w:t>
      </w: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(4), 1367–1386. </w:t>
      </w:r>
      <w:hyperlink r:id="rId34" w:tgtFrame="_new" w:history="1">
        <w:r w:rsidRPr="00064ABD">
          <w:rPr>
            <w:rStyle w:val="Kpr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tr-TR"/>
          </w:rPr>
          <w:t>https://doi.org/10.1016/j.annals.2011.03.009</w:t>
        </w:r>
      </w:hyperlink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10A56764" w14:textId="0629A3BC" w:rsidR="0010438F" w:rsidRPr="00064ABD" w:rsidRDefault="0010438F" w:rsidP="00064ABD">
      <w:pPr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UNWTO. (2024). </w:t>
      </w:r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World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tr-TR"/>
        </w:rPr>
        <w:t>Barometer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United Nations World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Tourism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Organization</w:t>
      </w:r>
      <w:proofErr w:type="spellEnd"/>
      <w:r w:rsidRPr="00064A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.</w:t>
      </w:r>
    </w:p>
    <w:p w14:paraId="347C1735" w14:textId="28E61DA6" w:rsidR="0010438F" w:rsidRPr="00064ABD" w:rsidRDefault="0010438F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Vodeb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K.,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Rudež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 N. (2017).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Which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attributes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important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tourists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mature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seaside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destination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case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Opatija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Croatia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An International </w:t>
      </w:r>
      <w:proofErr w:type="spellStart"/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Interdisciplinary</w:t>
      </w:r>
      <w:proofErr w:type="spellEnd"/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, 65(3), 267-27</w:t>
      </w:r>
      <w:r w:rsidR="002C21BC"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hyperlink r:id="rId35" w:history="1">
        <w:r w:rsidR="008F53D8" w:rsidRPr="00064ABD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https://hrcak.srce.hr/187098</w:t>
        </w:r>
      </w:hyperlink>
      <w:r w:rsidR="008F53D8"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0C209B" w14:textId="3D5D2E7C" w:rsidR="00386BE0" w:rsidRPr="00064ABD" w:rsidRDefault="00386BE0" w:rsidP="00064ABD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Xi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N., &amp;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Hamari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(2020).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Does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gamification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affect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brand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engagement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equity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A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online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brand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communities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Journal</w:t>
      </w:r>
      <w:proofErr w:type="spellEnd"/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of Business </w:t>
      </w:r>
      <w:proofErr w:type="spellStart"/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Research</w:t>
      </w:r>
      <w:proofErr w:type="spellEnd"/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109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449–460. </w:t>
      </w:r>
      <w:hyperlink r:id="rId36" w:tgtFrame="_new" w:history="1">
        <w:r w:rsidRPr="00064ABD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https://doi.org/10.1016/j.jbusres.2019.11.058</w:t>
        </w:r>
      </w:hyperlink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85E3915" w14:textId="2B430470" w:rsidR="0010438F" w:rsidRPr="00064ABD" w:rsidRDefault="00C1190F" w:rsidP="00064ABD">
      <w:pPr>
        <w:spacing w:before="2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Zhang, Y., &amp; Zhang, J. (2023).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Revisiting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Tourism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Development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Economic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Growth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A Framework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for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Configurational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Analysis in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Chinese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>Cities</w:t>
      </w:r>
      <w:proofErr w:type="spellEnd"/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Sustainability</w:t>
      </w:r>
      <w:proofErr w:type="spellEnd"/>
      <w:r w:rsidRPr="00064AB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, 15</w:t>
      </w:r>
      <w:r w:rsidRPr="00064A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(13), 10000. </w:t>
      </w:r>
      <w:hyperlink r:id="rId37" w:tgtFrame="_new" w:history="1">
        <w:r w:rsidRPr="00064ABD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https://doi.org/10.3390/su151310000</w:t>
        </w:r>
      </w:hyperlink>
      <w:r w:rsidR="00DD56F6" w:rsidRPr="00064ABD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</w:p>
    <w:sectPr w:rsidR="0010438F" w:rsidRPr="0006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6FEB"/>
    <w:multiLevelType w:val="hybridMultilevel"/>
    <w:tmpl w:val="C8001B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77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78"/>
    <w:rsid w:val="00034A5E"/>
    <w:rsid w:val="000504B5"/>
    <w:rsid w:val="00055B85"/>
    <w:rsid w:val="00064ABD"/>
    <w:rsid w:val="000A2B2D"/>
    <w:rsid w:val="000A6288"/>
    <w:rsid w:val="0010438F"/>
    <w:rsid w:val="00136790"/>
    <w:rsid w:val="0015756A"/>
    <w:rsid w:val="001858D2"/>
    <w:rsid w:val="00196A83"/>
    <w:rsid w:val="001F5F2D"/>
    <w:rsid w:val="0022009A"/>
    <w:rsid w:val="002518D6"/>
    <w:rsid w:val="00251AC0"/>
    <w:rsid w:val="002A7F3A"/>
    <w:rsid w:val="002C21BC"/>
    <w:rsid w:val="002E7F89"/>
    <w:rsid w:val="00386BE0"/>
    <w:rsid w:val="00396078"/>
    <w:rsid w:val="00480EE1"/>
    <w:rsid w:val="00487740"/>
    <w:rsid w:val="004A61A3"/>
    <w:rsid w:val="004C5168"/>
    <w:rsid w:val="00502580"/>
    <w:rsid w:val="00555AB2"/>
    <w:rsid w:val="005B26FD"/>
    <w:rsid w:val="005C03B2"/>
    <w:rsid w:val="005D440E"/>
    <w:rsid w:val="005E4BA4"/>
    <w:rsid w:val="006023C5"/>
    <w:rsid w:val="00650AF1"/>
    <w:rsid w:val="00691181"/>
    <w:rsid w:val="006A663D"/>
    <w:rsid w:val="006B5024"/>
    <w:rsid w:val="006E668D"/>
    <w:rsid w:val="006E6704"/>
    <w:rsid w:val="006E74E0"/>
    <w:rsid w:val="00714856"/>
    <w:rsid w:val="007225FA"/>
    <w:rsid w:val="00726884"/>
    <w:rsid w:val="007352C4"/>
    <w:rsid w:val="00737757"/>
    <w:rsid w:val="00762EA9"/>
    <w:rsid w:val="00790E7B"/>
    <w:rsid w:val="007C75B8"/>
    <w:rsid w:val="007C7A24"/>
    <w:rsid w:val="00826D34"/>
    <w:rsid w:val="008A1DC8"/>
    <w:rsid w:val="008A7E06"/>
    <w:rsid w:val="008B10BB"/>
    <w:rsid w:val="008B193F"/>
    <w:rsid w:val="008D6BF1"/>
    <w:rsid w:val="008F53D8"/>
    <w:rsid w:val="00922AF0"/>
    <w:rsid w:val="00924593"/>
    <w:rsid w:val="00932B08"/>
    <w:rsid w:val="00992599"/>
    <w:rsid w:val="00A12092"/>
    <w:rsid w:val="00A4515D"/>
    <w:rsid w:val="00A80396"/>
    <w:rsid w:val="00B32EAF"/>
    <w:rsid w:val="00BA1B93"/>
    <w:rsid w:val="00BC4874"/>
    <w:rsid w:val="00C10558"/>
    <w:rsid w:val="00C1190F"/>
    <w:rsid w:val="00C14ACB"/>
    <w:rsid w:val="00C3591F"/>
    <w:rsid w:val="00C50C22"/>
    <w:rsid w:val="00C642EF"/>
    <w:rsid w:val="00C722DD"/>
    <w:rsid w:val="00C940F3"/>
    <w:rsid w:val="00CA4431"/>
    <w:rsid w:val="00CD36F8"/>
    <w:rsid w:val="00CE7962"/>
    <w:rsid w:val="00D43727"/>
    <w:rsid w:val="00D714D8"/>
    <w:rsid w:val="00D73BAE"/>
    <w:rsid w:val="00D769FA"/>
    <w:rsid w:val="00DD56F6"/>
    <w:rsid w:val="00E02BC0"/>
    <w:rsid w:val="00E94480"/>
    <w:rsid w:val="00EC2AD7"/>
    <w:rsid w:val="00EC2B73"/>
    <w:rsid w:val="00EF2CDD"/>
    <w:rsid w:val="00F7180E"/>
    <w:rsid w:val="00F7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FD01"/>
  <w15:docId w15:val="{5E9BDD79-9E8E-4B7B-8497-E50452F6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96078"/>
    <w:rPr>
      <w:b/>
      <w:bCs/>
    </w:rPr>
  </w:style>
  <w:style w:type="character" w:styleId="Kpr">
    <w:name w:val="Hyperlink"/>
    <w:basedOn w:val="VarsaylanParagrafYazTipi"/>
    <w:uiPriority w:val="99"/>
    <w:unhideWhenUsed/>
    <w:rsid w:val="00C1055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10558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034A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108/IJTC-12-2015-0032" TargetMode="External"/><Relationship Id="rId18" Type="http://schemas.openxmlformats.org/officeDocument/2006/relationships/hyperlink" Target="https://doi.org/10.1080/09669582.2015.1122017" TargetMode="External"/><Relationship Id="rId26" Type="http://schemas.openxmlformats.org/officeDocument/2006/relationships/hyperlink" Target="https://doi.org/10.2307/3150499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11611/yead.423076" TargetMode="External"/><Relationship Id="rId34" Type="http://schemas.openxmlformats.org/officeDocument/2006/relationships/hyperlink" Target="https://doi.org/10.1016/j.annals.2011.03.009" TargetMode="External"/><Relationship Id="rId7" Type="http://schemas.openxmlformats.org/officeDocument/2006/relationships/hyperlink" Target="mailto:hkaradal@gmail.com" TargetMode="External"/><Relationship Id="rId12" Type="http://schemas.openxmlformats.org/officeDocument/2006/relationships/hyperlink" Target="https://doi.org/10.4018/978-1-5225-9172-7.ch002" TargetMode="External"/><Relationship Id="rId17" Type="http://schemas.openxmlformats.org/officeDocument/2006/relationships/hyperlink" Target="https://doi.org/10.1016/j.jdmm.2020.100547" TargetMode="External"/><Relationship Id="rId25" Type="http://schemas.openxmlformats.org/officeDocument/2006/relationships/hyperlink" Target="https://doi.org/10.1177/0047287507304039" TargetMode="External"/><Relationship Id="rId33" Type="http://schemas.openxmlformats.org/officeDocument/2006/relationships/hyperlink" Target="https://doi.org/10.15659/3.sektor-sosyal-ekonomi.19.07.1145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ipm.2017.10.006" TargetMode="External"/><Relationship Id="rId20" Type="http://schemas.openxmlformats.org/officeDocument/2006/relationships/hyperlink" Target="https://doi.org/10.1016/j.tourman.2009.08.012" TargetMode="External"/><Relationship Id="rId29" Type="http://schemas.openxmlformats.org/officeDocument/2006/relationships/hyperlink" Target="https://doi.org/10.1177/109634800629550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elif.senyucel@wpu.edu.tr" TargetMode="External"/><Relationship Id="rId11" Type="http://schemas.openxmlformats.org/officeDocument/2006/relationships/hyperlink" Target="https://doi.org/10.1108/JTF-03-2018-0016" TargetMode="External"/><Relationship Id="rId24" Type="http://schemas.openxmlformats.org/officeDocument/2006/relationships/hyperlink" Target="https://doi.org/10.1108/IJCHM-07-2017-0461" TargetMode="External"/><Relationship Id="rId32" Type="http://schemas.openxmlformats.org/officeDocument/2006/relationships/hyperlink" Target="https://doi.org/10.1080/02508281.2022.2101273" TargetMode="External"/><Relationship Id="rId37" Type="http://schemas.openxmlformats.org/officeDocument/2006/relationships/hyperlink" Target="https://doi.org/10.3390/su151310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j.tourman.2008.01.005" TargetMode="External"/><Relationship Id="rId23" Type="http://schemas.openxmlformats.org/officeDocument/2006/relationships/hyperlink" Target="https://turizmplanlama.gov.ct.tr/" TargetMode="External"/><Relationship Id="rId28" Type="http://schemas.openxmlformats.org/officeDocument/2006/relationships/hyperlink" Target="https://doi.org/10.1108/09596119910293231" TargetMode="External"/><Relationship Id="rId36" Type="http://schemas.openxmlformats.org/officeDocument/2006/relationships/hyperlink" Target="https://doi.org/10.1016/j.jbusres.2019.11.058" TargetMode="External"/><Relationship Id="rId10" Type="http://schemas.openxmlformats.org/officeDocument/2006/relationships/hyperlink" Target="https://doi.org/10.1016/j.annals.2006.03.020" TargetMode="External"/><Relationship Id="rId19" Type="http://schemas.openxmlformats.org/officeDocument/2006/relationships/hyperlink" Target="https://doi.org/10.15295/bmij.v8i1.1358" TargetMode="External"/><Relationship Id="rId31" Type="http://schemas.openxmlformats.org/officeDocument/2006/relationships/hyperlink" Target="https://doi.org/10.1007/s40558-020-00186-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j.tourman.2003.08.017" TargetMode="External"/><Relationship Id="rId14" Type="http://schemas.openxmlformats.org/officeDocument/2006/relationships/hyperlink" Target="https://doi.org/10.1007/978-3-319-14343-9_28" TargetMode="External"/><Relationship Id="rId22" Type="http://schemas.openxmlformats.org/officeDocument/2006/relationships/hyperlink" Target="https://doi.org/10.1016/j.tele.2020.101349" TargetMode="External"/><Relationship Id="rId27" Type="http://schemas.openxmlformats.org/officeDocument/2006/relationships/hyperlink" Target="https://doi.org/10.1002/jtr.2134" TargetMode="External"/><Relationship Id="rId30" Type="http://schemas.openxmlformats.org/officeDocument/2006/relationships/hyperlink" Target="https://doi.org/10.1016/j.jbusres.2020.06.015" TargetMode="External"/><Relationship Id="rId35" Type="http://schemas.openxmlformats.org/officeDocument/2006/relationships/hyperlink" Target="https://hrcak.srce.hr/187098" TargetMode="External"/><Relationship Id="rId8" Type="http://schemas.openxmlformats.org/officeDocument/2006/relationships/hyperlink" Target="https://doi.org/10.22161/ijebm.5.3.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A7FA8-E0CB-4E06-9F86-7AC204094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4156</Words>
  <Characters>23691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DEO</dc:creator>
  <cp:keywords/>
  <dc:description/>
  <cp:lastModifiedBy>Himmet KARADAL</cp:lastModifiedBy>
  <cp:revision>2</cp:revision>
  <cp:lastPrinted>2025-06-10T10:16:00Z</cp:lastPrinted>
  <dcterms:created xsi:type="dcterms:W3CDTF">2026-04-19T07:48:00Z</dcterms:created>
  <dcterms:modified xsi:type="dcterms:W3CDTF">2026-04-19T07:48:00Z</dcterms:modified>
</cp:coreProperties>
</file>